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3E74" w14:textId="77777777" w:rsidR="007D204D" w:rsidRPr="000619C3" w:rsidRDefault="007D204D" w:rsidP="007D204D">
      <w:pPr>
        <w:spacing w:after="0" w:line="240" w:lineRule="auto"/>
        <w:jc w:val="center"/>
        <w:outlineLvl w:val="0"/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</w:pPr>
      <w:proofErr w:type="spellStart"/>
      <w:r w:rsidRPr="000619C3"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Exercises</w:t>
      </w:r>
      <w:proofErr w:type="spellEnd"/>
      <w:r w:rsidRPr="000619C3"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 xml:space="preserve"> Biol-480 “Neuroscience” – </w:t>
      </w:r>
      <w:proofErr w:type="spellStart"/>
      <w:r w:rsidRPr="000619C3"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Alzheimer</w:t>
      </w:r>
      <w:r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’s</w:t>
      </w:r>
      <w:proofErr w:type="spellEnd"/>
      <w:r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 xml:space="preserve"> </w:t>
      </w:r>
      <w:proofErr w:type="spellStart"/>
      <w:r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disease</w:t>
      </w:r>
      <w:proofErr w:type="spellEnd"/>
    </w:p>
    <w:p w14:paraId="3CDBBA6A" w14:textId="7214CE0A" w:rsidR="007D204D" w:rsidRPr="000619C3" w:rsidRDefault="006C36F7" w:rsidP="007D204D">
      <w:pPr>
        <w:spacing w:after="0" w:line="240" w:lineRule="auto"/>
        <w:jc w:val="center"/>
        <w:outlineLvl w:val="0"/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</w:pPr>
      <w:r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 xml:space="preserve">Solutions </w:t>
      </w:r>
      <w:r w:rsidR="007D204D" w:rsidRPr="000619C3"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(</w:t>
      </w:r>
      <w:r w:rsidR="007D204D"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10</w:t>
      </w:r>
      <w:r w:rsidR="007D204D" w:rsidRPr="000619C3"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/</w:t>
      </w:r>
      <w:r w:rsidR="007D204D"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11</w:t>
      </w:r>
      <w:r w:rsidR="007D204D" w:rsidRPr="000619C3"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/2025)</w:t>
      </w:r>
    </w:p>
    <w:p w14:paraId="548B38EB" w14:textId="77777777" w:rsidR="007D204D" w:rsidRPr="008B0ACD" w:rsidRDefault="007D204D" w:rsidP="007D204D">
      <w:pPr>
        <w:rPr>
          <w:sz w:val="22"/>
          <w:szCs w:val="22"/>
        </w:rPr>
      </w:pPr>
    </w:p>
    <w:p w14:paraId="7C1362FD" w14:textId="77777777" w:rsidR="007D204D" w:rsidRPr="000619C3" w:rsidRDefault="007D204D" w:rsidP="007D204D">
      <w:pPr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</w:pPr>
      <w:r w:rsidRPr="000619C3">
        <w:rPr>
          <w:rFonts w:ascii="Helvetica Neue" w:eastAsia="MS Mincho" w:hAnsi="Helvetica Neue" w:cs="Times New Roman"/>
          <w:b/>
          <w:kern w:val="0"/>
          <w:sz w:val="22"/>
          <w:szCs w:val="21"/>
          <w:lang w:val="fr-FR"/>
          <w14:ligatures w14:val="none"/>
        </w:rPr>
        <w:t>General questions</w:t>
      </w:r>
    </w:p>
    <w:p w14:paraId="06CD8FF2" w14:textId="4F0BAA6F" w:rsidR="004645FD" w:rsidRDefault="004645FD" w:rsidP="007D204D">
      <w:pPr>
        <w:pStyle w:val="ListParagraph"/>
        <w:numPr>
          <w:ilvl w:val="0"/>
          <w:numId w:val="14"/>
        </w:numP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</w:pPr>
      <w:r w:rsidRPr="004645FD"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  <w:t>Where in the brain does Alzheimer’s disease (AD) start?</w:t>
      </w:r>
    </w:p>
    <w:p w14:paraId="56B39040" w14:textId="3C9CFB2D" w:rsidR="004645FD" w:rsidRPr="004645FD" w:rsidRDefault="004645FD" w:rsidP="004645FD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1"/>
          <w:lang w:val="en-US"/>
          <w14:ligatures w14:val="none"/>
        </w:rPr>
      </w:pPr>
      <w:r w:rsidRPr="004645FD">
        <w:rPr>
          <w:rFonts w:ascii="Helvetica Neue" w:eastAsia="MS Mincho" w:hAnsi="Helvetica Neue" w:cs="Times New Roman"/>
          <w:bCs/>
          <w:color w:val="0070C0"/>
          <w:kern w:val="0"/>
          <w:sz w:val="22"/>
          <w:szCs w:val="21"/>
          <w:lang w:val="en-US"/>
          <w14:ligatures w14:val="none"/>
        </w:rPr>
        <w:t>Entorhinal cortex</w:t>
      </w:r>
    </w:p>
    <w:p w14:paraId="0EC97907" w14:textId="06F1D6E4" w:rsidR="007D204D" w:rsidRDefault="007D204D" w:rsidP="007D204D">
      <w:pPr>
        <w:pStyle w:val="ListParagraph"/>
        <w:numPr>
          <w:ilvl w:val="0"/>
          <w:numId w:val="14"/>
        </w:numP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</w:pPr>
      <w: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  <w:t>Name 5 symptoms of Alzheimer’s disease (hint: the 5 A’s to diagnose AD).</w:t>
      </w:r>
    </w:p>
    <w:p w14:paraId="6234B16C" w14:textId="77777777" w:rsidR="007D204D" w:rsidRPr="007D204D" w:rsidRDefault="007D204D" w:rsidP="007D204D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1"/>
          <w:lang w:val="en-US"/>
          <w14:ligatures w14:val="none"/>
        </w:rPr>
      </w:pPr>
      <w:r w:rsidRPr="007D204D">
        <w:rPr>
          <w:rFonts w:ascii="Helvetica Neue" w:eastAsia="MS Mincho" w:hAnsi="Helvetica Neue" w:cs="Times New Roman"/>
          <w:bCs/>
          <w:color w:val="0070C0"/>
          <w:kern w:val="0"/>
          <w:sz w:val="22"/>
          <w:szCs w:val="21"/>
          <w:lang w:val="en-US"/>
          <w14:ligatures w14:val="none"/>
        </w:rPr>
        <w:t>Agnosia, amnesia, anomia, apraxia, and aphasia.</w:t>
      </w:r>
    </w:p>
    <w:p w14:paraId="1A8758B3" w14:textId="77777777" w:rsidR="007D204D" w:rsidRDefault="007D204D" w:rsidP="007D204D">
      <w:pPr>
        <w:pStyle w:val="ListParagraph"/>
        <w:numPr>
          <w:ilvl w:val="0"/>
          <w:numId w:val="14"/>
        </w:numP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</w:pPr>
      <w: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  <w:t>What are the two main features that differentiate AD from non-AD age-related dementia?</w:t>
      </w:r>
    </w:p>
    <w:p w14:paraId="5562840C" w14:textId="77777777" w:rsidR="007D204D" w:rsidRPr="007D204D" w:rsidRDefault="007D204D" w:rsidP="007D204D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1"/>
          <w:lang w:val="en-US"/>
          <w14:ligatures w14:val="none"/>
        </w:rPr>
      </w:pPr>
      <w:r w:rsidRPr="007D204D">
        <w:rPr>
          <w:rFonts w:ascii="Helvetica Neue" w:eastAsia="MS Mincho" w:hAnsi="Helvetica Neue" w:cs="Times New Roman"/>
          <w:bCs/>
          <w:color w:val="0070C0"/>
          <w:kern w:val="0"/>
          <w:sz w:val="22"/>
          <w:szCs w:val="21"/>
          <w:lang w:val="en-US"/>
          <w14:ligatures w14:val="none"/>
        </w:rPr>
        <w:t>AD: unknown cause and irreversible</w:t>
      </w:r>
    </w:p>
    <w:p w14:paraId="3F70A2F7" w14:textId="77777777" w:rsidR="007D204D" w:rsidRPr="007D204D" w:rsidRDefault="007D204D" w:rsidP="007D204D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1"/>
          <w:lang w:val="en-US"/>
          <w14:ligatures w14:val="none"/>
        </w:rPr>
      </w:pPr>
      <w:r w:rsidRPr="007D204D">
        <w:rPr>
          <w:rFonts w:ascii="Helvetica Neue" w:eastAsia="MS Mincho" w:hAnsi="Helvetica Neue" w:cs="Times New Roman"/>
          <w:bCs/>
          <w:color w:val="0070C0"/>
          <w:kern w:val="0"/>
          <w:sz w:val="22"/>
          <w:szCs w:val="21"/>
          <w:lang w:val="en-US"/>
          <w14:ligatures w14:val="none"/>
        </w:rPr>
        <w:t>Non-AD age-related dementia: Many causes, potentially reversible</w:t>
      </w:r>
    </w:p>
    <w:p w14:paraId="5F28B911" w14:textId="0AF8D436" w:rsidR="007D204D" w:rsidRDefault="007D204D" w:rsidP="007D204D">
      <w:pPr>
        <w:pStyle w:val="ListParagraph"/>
        <w:numPr>
          <w:ilvl w:val="0"/>
          <w:numId w:val="14"/>
        </w:numP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</w:pPr>
      <w: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  <w:t>Name 3 pathophysiological hallmarks</w:t>
      </w:r>
      <w:r w:rsidR="004645FD"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  <w:t xml:space="preserve"> of AD.</w:t>
      </w:r>
    </w:p>
    <w:p w14:paraId="3850AB20" w14:textId="77777777" w:rsidR="007D204D" w:rsidRDefault="007D204D" w:rsidP="007D204D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1"/>
          <w:lang w:val="en-US"/>
          <w14:ligatures w14:val="none"/>
        </w:rPr>
      </w:pPr>
      <w:r w:rsidRPr="007D204D">
        <w:rPr>
          <w:rFonts w:ascii="Helvetica Neue" w:eastAsia="MS Mincho" w:hAnsi="Helvetica Neue" w:cs="Times New Roman"/>
          <w:bCs/>
          <w:color w:val="0070C0"/>
          <w:kern w:val="0"/>
          <w:sz w:val="22"/>
          <w:szCs w:val="21"/>
          <w:lang w:val="en-US"/>
          <w14:ligatures w14:val="none"/>
        </w:rPr>
        <w:t>Neuronal loss, neurofibrillary tangles, and amyloid plaques.</w:t>
      </w:r>
    </w:p>
    <w:p w14:paraId="67947B8D" w14:textId="6CC33708" w:rsidR="005F2B87" w:rsidRPr="005F2B87" w:rsidRDefault="005F2B87" w:rsidP="005F2B87">
      <w:pPr>
        <w:pStyle w:val="ListParagraph"/>
        <w:numPr>
          <w:ilvl w:val="0"/>
          <w:numId w:val="14"/>
        </w:numP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</w:pPr>
      <w:r w:rsidRPr="005F2B87"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  <w:t>What is “Braak and Braak” staging</w:t>
      </w:r>
      <w:r>
        <w:rPr>
          <w:rFonts w:ascii="Helvetica Neue" w:eastAsia="MS Mincho" w:hAnsi="Helvetica Neue" w:cs="Times New Roman"/>
          <w:bCs/>
          <w:kern w:val="0"/>
          <w:sz w:val="22"/>
          <w:szCs w:val="21"/>
          <w:lang w:val="en-US"/>
          <w14:ligatures w14:val="none"/>
        </w:rPr>
        <w:t>?</w:t>
      </w:r>
    </w:p>
    <w:p w14:paraId="4A123410" w14:textId="055B68D6" w:rsidR="005F2B87" w:rsidRDefault="005F2B87" w:rsidP="005F2B87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1"/>
          <w:lang w:val="en-US"/>
          <w14:ligatures w14:val="none"/>
        </w:rPr>
      </w:pPr>
      <w:r w:rsidRPr="005F2B87">
        <w:rPr>
          <w:rFonts w:ascii="Helvetica Neue" w:eastAsia="MS Mincho" w:hAnsi="Helvetica Neue" w:cs="Times New Roman"/>
          <w:bCs/>
          <w:color w:val="0070C0"/>
          <w:kern w:val="0"/>
          <w:sz w:val="22"/>
          <w:szCs w:val="21"/>
          <w:lang w:val="en-US"/>
          <w14:ligatures w14:val="none"/>
        </w:rPr>
        <w:t>It refers to a method used to classify the degree of progression from mild cognitive impairment (MCI) to fully developed Alzheimer’s disease (AD).</w:t>
      </w:r>
    </w:p>
    <w:p w14:paraId="061521BD" w14:textId="77777777" w:rsidR="00B15666" w:rsidRPr="007D204D" w:rsidRDefault="00B15666" w:rsidP="005F2B87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1"/>
          <w:lang w:val="en-US"/>
          <w14:ligatures w14:val="none"/>
        </w:rPr>
      </w:pPr>
    </w:p>
    <w:p w14:paraId="3F9B89C6" w14:textId="39547A5D" w:rsidR="003A1B86" w:rsidRPr="00C72457" w:rsidRDefault="008524B8" w:rsidP="00E92826">
      <w:pPr>
        <w:rPr>
          <w:rFonts w:ascii="Helvetica Neue" w:hAnsi="Helvetica Neue"/>
          <w:b/>
          <w:bCs/>
          <w:sz w:val="22"/>
          <w:szCs w:val="22"/>
        </w:rPr>
      </w:pPr>
      <w:r>
        <w:rPr>
          <w:rFonts w:ascii="Helvetica Neue" w:hAnsi="Helvetica Neue"/>
          <w:b/>
          <w:bCs/>
          <w:sz w:val="22"/>
          <w:szCs w:val="22"/>
        </w:rPr>
        <w:t>Case study</w:t>
      </w:r>
    </w:p>
    <w:p w14:paraId="422D6074" w14:textId="01D8462A" w:rsidR="00C72457" w:rsidRDefault="00C72457" w:rsidP="00C72457">
      <w:pPr>
        <w:jc w:val="center"/>
        <w:rPr>
          <w:rFonts w:ascii="Helvetica Neue" w:hAnsi="Helvetica Neue"/>
          <w:color w:val="0070C0"/>
          <w:sz w:val="22"/>
          <w:szCs w:val="22"/>
        </w:rPr>
      </w:pPr>
      <w:r>
        <w:rPr>
          <w:rFonts w:ascii="Helvetica Neue" w:hAnsi="Helvetica Neue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82A28" wp14:editId="0E0B5628">
                <wp:simplePos x="0" y="0"/>
                <wp:positionH relativeFrom="column">
                  <wp:posOffset>1612848</wp:posOffset>
                </wp:positionH>
                <wp:positionV relativeFrom="paragraph">
                  <wp:posOffset>2001520</wp:posOffset>
                </wp:positionV>
                <wp:extent cx="738549" cy="294362"/>
                <wp:effectExtent l="0" t="0" r="0" b="0"/>
                <wp:wrapNone/>
                <wp:docPr id="12993265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49" cy="294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0FFC9" w14:textId="241F2769" w:rsidR="00C72457" w:rsidRPr="00C72457" w:rsidRDefault="00C72457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  <w:t>MRI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82A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pt;margin-top:157.6pt;width:58.1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" filled="f" stroked="f" strokeweight=".5pt">
                <v:textbox>
                  <w:txbxContent>
                    <w:p w14:paraId="26C0FFC9" w14:textId="241F2769" w:rsidR="00C72457" w:rsidRPr="00C72457" w:rsidRDefault="00C72457">
                      <w:pPr>
                        <w:rPr>
                          <w:color w:val="FFFFFF" w:themeColor="background1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15"/>
                          <w:szCs w:val="15"/>
                          <w:lang w:val="en-US"/>
                        </w:rPr>
                        <w:t>MRI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 Neue" w:hAnsi="Helvetica Neue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367C2" wp14:editId="3BBCCE39">
                <wp:simplePos x="0" y="0"/>
                <wp:positionH relativeFrom="column">
                  <wp:posOffset>1617980</wp:posOffset>
                </wp:positionH>
                <wp:positionV relativeFrom="paragraph">
                  <wp:posOffset>1275080</wp:posOffset>
                </wp:positionV>
                <wp:extent cx="738549" cy="294362"/>
                <wp:effectExtent l="0" t="0" r="0" b="0"/>
                <wp:wrapNone/>
                <wp:docPr id="19611000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49" cy="2943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BE086" w14:textId="5A117F2C" w:rsidR="00C72457" w:rsidRPr="00C72457" w:rsidRDefault="00C72457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  <w:t>Tau</w:t>
                            </w:r>
                            <w:r w:rsidRPr="00C72457">
                              <w:rPr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  <w:t xml:space="preserve"> PET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367C2" id="_x0000_s1027" type="#_x0000_t202" style="position:absolute;left:0;text-align:left;margin-left:127.4pt;margin-top:100.4pt;width:58.1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" filled="f" stroked="f" strokeweight=".5pt">
                <v:textbox>
                  <w:txbxContent>
                    <w:p w14:paraId="50FBE086" w14:textId="5A117F2C" w:rsidR="00C72457" w:rsidRPr="00C72457" w:rsidRDefault="00C72457">
                      <w:pPr>
                        <w:rPr>
                          <w:color w:val="FFFFFF" w:themeColor="background1"/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15"/>
                          <w:szCs w:val="15"/>
                          <w:lang w:val="en-US"/>
                        </w:rPr>
                        <w:t>Tau</w:t>
                      </w:r>
                      <w:r w:rsidRPr="00C72457">
                        <w:rPr>
                          <w:color w:val="FFFFFF" w:themeColor="background1"/>
                          <w:sz w:val="15"/>
                          <w:szCs w:val="15"/>
                          <w:lang w:val="en-US"/>
                        </w:rPr>
                        <w:t xml:space="preserve"> PET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 Neue" w:hAnsi="Helvetica Neue"/>
          <w:noProof/>
          <w:color w:val="0070C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E1D3A" wp14:editId="2F88F0B7">
                <wp:simplePos x="0" y="0"/>
                <wp:positionH relativeFrom="column">
                  <wp:posOffset>1533525</wp:posOffset>
                </wp:positionH>
                <wp:positionV relativeFrom="paragraph">
                  <wp:posOffset>401955</wp:posOffset>
                </wp:positionV>
                <wp:extent cx="738505" cy="294005"/>
                <wp:effectExtent l="0" t="0" r="0" b="0"/>
                <wp:wrapNone/>
                <wp:docPr id="5039863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C1BDF" w14:textId="5B9F4D67" w:rsidR="00C72457" w:rsidRPr="00C72457" w:rsidRDefault="00C72457">
                            <w:pPr>
                              <w:rPr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C72457">
                              <w:rPr>
                                <w:color w:val="FFFFFF" w:themeColor="background1"/>
                                <w:sz w:val="15"/>
                                <w:szCs w:val="15"/>
                                <w:lang w:val="en-US"/>
                              </w:rPr>
                              <w:t>Amyloid PET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E1D3A" id="_x0000_s1028" type="#_x0000_t202" style="position:absolute;left:0;text-align:left;margin-left:120.75pt;margin-top:31.65pt;width:58.1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" filled="f" stroked="f" strokeweight=".5pt">
                <v:textbox>
                  <w:txbxContent>
                    <w:p w14:paraId="208C1BDF" w14:textId="5B9F4D67" w:rsidR="00C72457" w:rsidRPr="00C72457" w:rsidRDefault="00C72457">
                      <w:pPr>
                        <w:rPr>
                          <w:color w:val="FFFFFF" w:themeColor="background1"/>
                          <w:sz w:val="15"/>
                          <w:szCs w:val="15"/>
                          <w:lang w:val="en-US"/>
                        </w:rPr>
                      </w:pPr>
                      <w:r w:rsidRPr="00C72457">
                        <w:rPr>
                          <w:color w:val="FFFFFF" w:themeColor="background1"/>
                          <w:sz w:val="15"/>
                          <w:szCs w:val="15"/>
                          <w:lang w:val="en-US"/>
                        </w:rPr>
                        <w:t>Amyloid PET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 Neue" w:hAnsi="Helvetica Neue"/>
          <w:noProof/>
          <w:color w:val="0070C0"/>
          <w:sz w:val="22"/>
          <w:szCs w:val="22"/>
        </w:rPr>
        <w:drawing>
          <wp:inline distT="0" distB="0" distL="0" distR="0" wp14:anchorId="71D4A4A2" wp14:editId="678233A4">
            <wp:extent cx="2667786" cy="2534781"/>
            <wp:effectExtent l="0" t="0" r="0" b="5715"/>
            <wp:docPr id="515027523" name="Picture 1" descr="A group of images of a br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027523" name="Picture 1" descr="A group of images of a brai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588" cy="255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8F0D6" w14:textId="6B4C4336" w:rsidR="00C72457" w:rsidRDefault="00C72457" w:rsidP="00E92826">
      <w:p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This figure shows PET and MRI scans of a</w:t>
      </w:r>
      <w:r w:rsidRPr="00C72457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 xml:space="preserve"> cognitively unimpaired 67-year-old man.</w:t>
      </w:r>
    </w:p>
    <w:p w14:paraId="1ECCBE89" w14:textId="77777777" w:rsidR="008524B8" w:rsidRDefault="008524B8" w:rsidP="008524B8">
      <w:pPr>
        <w:pStyle w:val="ListParagraph"/>
        <w:numPr>
          <w:ilvl w:val="0"/>
          <w:numId w:val="16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8524B8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Do you observe any abnormalities in the amyloid PET images? Describe what you see and what it indicates.</w:t>
      </w:r>
    </w:p>
    <w:p w14:paraId="0318D2E8" w14:textId="7D3FD846" w:rsidR="008524B8" w:rsidRPr="008524B8" w:rsidRDefault="008524B8" w:rsidP="008524B8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</w:pPr>
      <w:r w:rsidRPr="008524B8"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>There is widespread amyloid tracer uptake throughout the cortex, indicating amyloid deposition even though the individual is still cognitively unimpaired.</w:t>
      </w:r>
    </w:p>
    <w:p w14:paraId="1CE61DAF" w14:textId="77777777" w:rsidR="008524B8" w:rsidRDefault="008524B8" w:rsidP="008524B8">
      <w:pPr>
        <w:pStyle w:val="ListParagraph"/>
        <w:numPr>
          <w:ilvl w:val="0"/>
          <w:numId w:val="16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8524B8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Do you observe any abnormalities in the tau PET images? What does this suggest about tau pathology at this stage?</w:t>
      </w:r>
    </w:p>
    <w:p w14:paraId="16C11494" w14:textId="02F4D002" w:rsidR="008524B8" w:rsidRPr="008524B8" w:rsidRDefault="008524B8" w:rsidP="008524B8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</w:pPr>
      <w:r w:rsidRPr="008524B8"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>No abnormal tau signal is visible. This suggests tau pathology has not yet spread, consistent with early preclinical stages.</w:t>
      </w:r>
    </w:p>
    <w:p w14:paraId="00DA9FFC" w14:textId="77777777" w:rsidR="008524B8" w:rsidRDefault="008524B8" w:rsidP="008524B8">
      <w:pPr>
        <w:pStyle w:val="ListParagraph"/>
        <w:numPr>
          <w:ilvl w:val="0"/>
          <w:numId w:val="16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8524B8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lastRenderedPageBreak/>
        <w:t>Do you observe any visible abnormalities on the MRI images? What does this tell you about brain atrophy?</w:t>
      </w:r>
    </w:p>
    <w:p w14:paraId="2E7C6BE8" w14:textId="5DCDFE86" w:rsidR="008524B8" w:rsidRPr="008524B8" w:rsidRDefault="008524B8" w:rsidP="008524B8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</w:pPr>
      <w:r w:rsidRPr="008524B8"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>No significant cortical atrophy is seen. Brain structure appears largely preserved.</w:t>
      </w:r>
    </w:p>
    <w:p w14:paraId="30340B6C" w14:textId="77777777" w:rsidR="008524B8" w:rsidRDefault="008524B8" w:rsidP="008524B8">
      <w:pPr>
        <w:pStyle w:val="ListParagraph"/>
        <w:numPr>
          <w:ilvl w:val="0"/>
          <w:numId w:val="16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8524B8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Based on the PET and MRI findings, can you conclude that this patient has Alzheimer’s disease?</w:t>
      </w:r>
      <w: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 xml:space="preserve"> </w:t>
      </w:r>
      <w:r w:rsidRPr="008524B8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What makes diagnosis difficult at this stage?</w:t>
      </w:r>
    </w:p>
    <w:p w14:paraId="10F27E0C" w14:textId="52481175" w:rsidR="00B15666" w:rsidRPr="008524B8" w:rsidRDefault="008524B8" w:rsidP="008524B8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</w:pPr>
      <w:r w:rsidRPr="008524B8"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>It is too early to diagnose Alzheimer’s disease. Although amyloid accumulation is present, tau pathology and atrophy are minimal, and the person remains cognitively normal. This case highlights the main diagnostic challenge: amyloid builds up years before symptoms, while tau spreading and neuronal los</w:t>
      </w:r>
      <w:r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 xml:space="preserve">s, </w:t>
      </w:r>
      <w:r w:rsidRPr="008524B8"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>the main drivers of cognitive decline</w:t>
      </w:r>
      <w:r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 xml:space="preserve">, </w:t>
      </w:r>
      <w:r w:rsidRPr="008524B8"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>occur later</w:t>
      </w:r>
      <w:r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 xml:space="preserve"> and are not correlated.</w:t>
      </w:r>
    </w:p>
    <w:p w14:paraId="5ADB9DDD" w14:textId="77777777" w:rsidR="00B15666" w:rsidRPr="00B15666" w:rsidRDefault="00B15666" w:rsidP="00B15666">
      <w:p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</w:p>
    <w:p w14:paraId="5BC5840B" w14:textId="3A1A3611" w:rsidR="003A1B86" w:rsidRPr="002934D6" w:rsidRDefault="003A1B86" w:rsidP="00E92826">
      <w:pPr>
        <w:rPr>
          <w:rFonts w:ascii="Helvetica Neue" w:hAnsi="Helvetica Neue"/>
          <w:b/>
          <w:bCs/>
          <w:sz w:val="22"/>
          <w:szCs w:val="22"/>
        </w:rPr>
      </w:pPr>
      <w:r w:rsidRPr="002934D6">
        <w:rPr>
          <w:rFonts w:ascii="Helvetica Neue" w:hAnsi="Helvetica Neue"/>
          <w:b/>
          <w:bCs/>
          <w:sz w:val="22"/>
          <w:szCs w:val="22"/>
        </w:rPr>
        <w:t>PET imaging of Tau Deposition</w:t>
      </w:r>
    </w:p>
    <w:p w14:paraId="09A927BA" w14:textId="3F04F044" w:rsidR="003A1B86" w:rsidRPr="002934D6" w:rsidRDefault="003A1B86" w:rsidP="00E92826">
      <w:pPr>
        <w:contextualSpacing/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You will analyze images from a study of tau accumulation in the human brain (Schöll et al., 2016, Neuron). They used AV-1451 as the tau PET agent to examine retention patterns in cognitively normal older people (OA = older adults) compared to young controls (YA = young healthy adults) and patients with Alzheimer’s disease (AD).</w:t>
      </w:r>
    </w:p>
    <w:p w14:paraId="60262CD2" w14:textId="2EF65A0A" w:rsidR="003A1B86" w:rsidRPr="002934D6" w:rsidRDefault="003A1B86" w:rsidP="00E92826">
      <w:pPr>
        <w:contextualSpacing/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β-amyloid is measured using PiB PET.</w:t>
      </w:r>
    </w:p>
    <w:p w14:paraId="777BF94E" w14:textId="4AAAD5D3" w:rsidR="003A1B86" w:rsidRPr="002934D6" w:rsidRDefault="003A1B86" w:rsidP="003A1B86">
      <w:pPr>
        <w:rPr>
          <w:rFonts w:ascii="Helvetica Neue" w:hAnsi="Helvetica Neue"/>
          <w:sz w:val="22"/>
          <w:szCs w:val="22"/>
        </w:rPr>
      </w:pPr>
      <w:r w:rsidRPr="002934D6">
        <w:rPr>
          <w:rFonts w:ascii="Helvetica Neue" w:hAnsi="Helvetica Neue"/>
          <w:noProof/>
          <w:sz w:val="22"/>
          <w:szCs w:val="22"/>
        </w:rPr>
        <w:drawing>
          <wp:inline distT="0" distB="0" distL="0" distR="0" wp14:anchorId="1F1565F9" wp14:editId="6196A57C">
            <wp:extent cx="5885204" cy="1750695"/>
            <wp:effectExtent l="0" t="0" r="0" b="1905"/>
            <wp:docPr id="1407762606" name="Picture 3" descr="A close-up of a brain sc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762606" name="Picture 3" descr="A close-up of a brain sca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618" cy="178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5BABC" w14:textId="567CBA8A" w:rsidR="003A1B86" w:rsidRPr="002934D6" w:rsidRDefault="003A1B86" w:rsidP="002934D6">
      <w:pPr>
        <w:pStyle w:val="ListParagraph"/>
        <w:numPr>
          <w:ilvl w:val="0"/>
          <w:numId w:val="12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Which brain region shows the earliest signs of tau tracer uptake in older adults compared to young adults?</w:t>
      </w:r>
      <w:r w:rsidR="00B11F05"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 xml:space="preserve"> What do you conclude from the tau tracer uptake in this region, even in amyloid-negative older adults?</w:t>
      </w:r>
    </w:p>
    <w:p w14:paraId="1A20F311" w14:textId="2F6767BA" w:rsidR="00B11F05" w:rsidRPr="002934D6" w:rsidRDefault="00B11F05" w:rsidP="00B11F05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>Medial temporal lobe regions. Tau deposition is part of normal aging.</w:t>
      </w:r>
    </w:p>
    <w:p w14:paraId="21935789" w14:textId="77777777" w:rsidR="00ED0894" w:rsidRPr="002934D6" w:rsidRDefault="00B11F05" w:rsidP="002934D6">
      <w:pPr>
        <w:pStyle w:val="ListParagraph"/>
        <w:numPr>
          <w:ilvl w:val="0"/>
          <w:numId w:val="12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 xml:space="preserve">What do you observe when </w:t>
      </w:r>
      <w:r w:rsidR="00ED0894"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comparing</w:t>
      </w:r>
      <w:r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 xml:space="preserve"> amyloid-negative and amyloid-positive older adults? </w:t>
      </w:r>
      <w:r w:rsidR="00ED0894"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What does this suggest about the relationship between amyloid and tau?</w:t>
      </w:r>
    </w:p>
    <w:p w14:paraId="1FD7B441" w14:textId="2AD752E1" w:rsidR="00B11F05" w:rsidRPr="002934D6" w:rsidRDefault="00B11F05" w:rsidP="00ED0894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>We see an extension of tau deposits in amyloid-positive older adults. This suggests that amyloid pathology promotes tau spreading.</w:t>
      </w:r>
    </w:p>
    <w:p w14:paraId="46E94276" w14:textId="273F9A76" w:rsidR="00B11F05" w:rsidRPr="002934D6" w:rsidRDefault="00B11F05" w:rsidP="002934D6">
      <w:pPr>
        <w:pStyle w:val="ListParagraph"/>
        <w:numPr>
          <w:ilvl w:val="0"/>
          <w:numId w:val="12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What do you observe when you compare amyloid-positive older adults and AD patients? What can you conclude?</w:t>
      </w:r>
    </w:p>
    <w:p w14:paraId="02D8775E" w14:textId="13716973" w:rsidR="00B11F05" w:rsidRPr="002934D6" w:rsidRDefault="00B11F05" w:rsidP="00B11F05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 xml:space="preserve">There is an extensive tracer uptake in AD patients </w:t>
      </w:r>
      <w:r w:rsidR="00626186" w:rsidRPr="002934D6"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>across temporal, parietal, and frontal cortices.</w:t>
      </w:r>
      <w:r w:rsidR="00ED0894" w:rsidRPr="002934D6"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 xml:space="preserve"> AD shows stronger and more widespread uptake, meaning a more advanced tauopathy associated with cognitive decline.</w:t>
      </w:r>
    </w:p>
    <w:p w14:paraId="71B561FA" w14:textId="51CE0179" w:rsidR="00ED0894" w:rsidRPr="002934D6" w:rsidRDefault="00213713" w:rsidP="002934D6">
      <w:pPr>
        <w:pStyle w:val="ListParagraph"/>
        <w:numPr>
          <w:ilvl w:val="0"/>
          <w:numId w:val="12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When looking at all the images and the brain regions involved, what does tau accumulation predict here</w:t>
      </w:r>
      <w:r w:rsidR="00ED0894"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t>?</w:t>
      </w:r>
    </w:p>
    <w:p w14:paraId="08D960D3" w14:textId="4DAA9908" w:rsidR="00213713" w:rsidRPr="002934D6" w:rsidRDefault="00213713" w:rsidP="00213713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>Tau accumulation here predicts memory decline.</w:t>
      </w:r>
    </w:p>
    <w:p w14:paraId="02E96DA3" w14:textId="7ADF04AF" w:rsidR="00213713" w:rsidRPr="002934D6" w:rsidRDefault="00213713" w:rsidP="002934D6">
      <w:pPr>
        <w:pStyle w:val="ListParagraph"/>
        <w:numPr>
          <w:ilvl w:val="0"/>
          <w:numId w:val="12"/>
        </w:numPr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kern w:val="0"/>
          <w:sz w:val="22"/>
          <w:szCs w:val="22"/>
          <w:lang w:val="en-US"/>
          <w14:ligatures w14:val="none"/>
        </w:rPr>
        <w:lastRenderedPageBreak/>
        <w:t>What are the advantages and limitations of PET imaging compared to post-mortem histology for studying tau pathology in aging and AD?</w:t>
      </w:r>
    </w:p>
    <w:p w14:paraId="66B4D40A" w14:textId="3637829B" w:rsidR="00213713" w:rsidRPr="002934D6" w:rsidRDefault="00213713" w:rsidP="00213713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>Advantages: In vivo, whole-brain imaging, disease-related changes measurements</w:t>
      </w:r>
    </w:p>
    <w:p w14:paraId="48677115" w14:textId="118F7DFA" w:rsidR="00213713" w:rsidRPr="002934D6" w:rsidRDefault="00213713" w:rsidP="00213713">
      <w:pPr>
        <w:pStyle w:val="ListParagraph"/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</w:pPr>
      <w:r w:rsidRPr="002934D6">
        <w:rPr>
          <w:rFonts w:ascii="Helvetica Neue" w:eastAsia="MS Mincho" w:hAnsi="Helvetica Neue" w:cs="Times New Roman"/>
          <w:bCs/>
          <w:color w:val="0070C0"/>
          <w:kern w:val="0"/>
          <w:sz w:val="22"/>
          <w:szCs w:val="22"/>
          <w:lang w:val="en-US"/>
          <w14:ligatures w14:val="none"/>
        </w:rPr>
        <w:t>Limitations: lower resolution, more expensive.</w:t>
      </w:r>
    </w:p>
    <w:sectPr w:rsidR="00213713" w:rsidRPr="002934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AF2"/>
    <w:multiLevelType w:val="hybridMultilevel"/>
    <w:tmpl w:val="1B2E131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C67"/>
    <w:multiLevelType w:val="hybridMultilevel"/>
    <w:tmpl w:val="2D28DC88"/>
    <w:lvl w:ilvl="0" w:tplc="48DC9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16D8D"/>
    <w:multiLevelType w:val="hybridMultilevel"/>
    <w:tmpl w:val="65D657A0"/>
    <w:lvl w:ilvl="0" w:tplc="FD6804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B2F2F"/>
    <w:multiLevelType w:val="hybridMultilevel"/>
    <w:tmpl w:val="D4FEAFB0"/>
    <w:lvl w:ilvl="0" w:tplc="753E6788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3C2D6F"/>
    <w:multiLevelType w:val="hybridMultilevel"/>
    <w:tmpl w:val="602AA368"/>
    <w:lvl w:ilvl="0" w:tplc="FA7AA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97321"/>
    <w:multiLevelType w:val="hybridMultilevel"/>
    <w:tmpl w:val="1B2E131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1790C"/>
    <w:multiLevelType w:val="hybridMultilevel"/>
    <w:tmpl w:val="270C54EC"/>
    <w:lvl w:ilvl="0" w:tplc="FD6804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920F2"/>
    <w:multiLevelType w:val="hybridMultilevel"/>
    <w:tmpl w:val="DC30CB3E"/>
    <w:lvl w:ilvl="0" w:tplc="F86C14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4E11"/>
    <w:multiLevelType w:val="hybridMultilevel"/>
    <w:tmpl w:val="37BEF3BA"/>
    <w:lvl w:ilvl="0" w:tplc="FA7AA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067C8"/>
    <w:multiLevelType w:val="hybridMultilevel"/>
    <w:tmpl w:val="E946E4CE"/>
    <w:lvl w:ilvl="0" w:tplc="644C2E52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512F1"/>
    <w:multiLevelType w:val="hybridMultilevel"/>
    <w:tmpl w:val="E6AAB082"/>
    <w:lvl w:ilvl="0" w:tplc="C4C8B7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21C82"/>
    <w:multiLevelType w:val="hybridMultilevel"/>
    <w:tmpl w:val="C6E494CE"/>
    <w:lvl w:ilvl="0" w:tplc="FD6804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52ACB"/>
    <w:multiLevelType w:val="hybridMultilevel"/>
    <w:tmpl w:val="68B8D856"/>
    <w:lvl w:ilvl="0" w:tplc="753E6788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A00397"/>
    <w:multiLevelType w:val="hybridMultilevel"/>
    <w:tmpl w:val="DD70A992"/>
    <w:lvl w:ilvl="0" w:tplc="0BC28CB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1B4F48"/>
    <w:multiLevelType w:val="hybridMultilevel"/>
    <w:tmpl w:val="BC28E9A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F3938"/>
    <w:multiLevelType w:val="hybridMultilevel"/>
    <w:tmpl w:val="BC28E9A4"/>
    <w:lvl w:ilvl="0" w:tplc="FA7AAD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67858">
    <w:abstractNumId w:val="4"/>
  </w:num>
  <w:num w:numId="2" w16cid:durableId="823929546">
    <w:abstractNumId w:val="12"/>
  </w:num>
  <w:num w:numId="3" w16cid:durableId="1085372713">
    <w:abstractNumId w:val="7"/>
  </w:num>
  <w:num w:numId="4" w16cid:durableId="1338460501">
    <w:abstractNumId w:val="13"/>
  </w:num>
  <w:num w:numId="5" w16cid:durableId="257445248">
    <w:abstractNumId w:val="11"/>
  </w:num>
  <w:num w:numId="6" w16cid:durableId="1507942510">
    <w:abstractNumId w:val="2"/>
  </w:num>
  <w:num w:numId="7" w16cid:durableId="1878271298">
    <w:abstractNumId w:val="6"/>
  </w:num>
  <w:num w:numId="8" w16cid:durableId="1367482185">
    <w:abstractNumId w:val="9"/>
  </w:num>
  <w:num w:numId="9" w16cid:durableId="1951811908">
    <w:abstractNumId w:val="15"/>
  </w:num>
  <w:num w:numId="10" w16cid:durableId="1351907315">
    <w:abstractNumId w:val="14"/>
  </w:num>
  <w:num w:numId="11" w16cid:durableId="2015103979">
    <w:abstractNumId w:val="0"/>
  </w:num>
  <w:num w:numId="12" w16cid:durableId="484857629">
    <w:abstractNumId w:val="5"/>
  </w:num>
  <w:num w:numId="13" w16cid:durableId="764690219">
    <w:abstractNumId w:val="3"/>
  </w:num>
  <w:num w:numId="14" w16cid:durableId="821582844">
    <w:abstractNumId w:val="8"/>
  </w:num>
  <w:num w:numId="15" w16cid:durableId="147597094">
    <w:abstractNumId w:val="1"/>
  </w:num>
  <w:num w:numId="16" w16cid:durableId="1773428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9F"/>
    <w:rsid w:val="001D246E"/>
    <w:rsid w:val="00213713"/>
    <w:rsid w:val="002934D6"/>
    <w:rsid w:val="002F399F"/>
    <w:rsid w:val="002F3C96"/>
    <w:rsid w:val="003120F2"/>
    <w:rsid w:val="00350774"/>
    <w:rsid w:val="00361740"/>
    <w:rsid w:val="003A1B86"/>
    <w:rsid w:val="004645FD"/>
    <w:rsid w:val="004F2213"/>
    <w:rsid w:val="005B30BF"/>
    <w:rsid w:val="005B73EC"/>
    <w:rsid w:val="005F2B87"/>
    <w:rsid w:val="00626186"/>
    <w:rsid w:val="006C36F7"/>
    <w:rsid w:val="007D204D"/>
    <w:rsid w:val="00800F07"/>
    <w:rsid w:val="008524B8"/>
    <w:rsid w:val="008D03FA"/>
    <w:rsid w:val="009145D7"/>
    <w:rsid w:val="009328E6"/>
    <w:rsid w:val="00A7268F"/>
    <w:rsid w:val="00B11F05"/>
    <w:rsid w:val="00B15666"/>
    <w:rsid w:val="00B53315"/>
    <w:rsid w:val="00C72457"/>
    <w:rsid w:val="00CD452D"/>
    <w:rsid w:val="00D15EE0"/>
    <w:rsid w:val="00E92826"/>
    <w:rsid w:val="00ED0894"/>
    <w:rsid w:val="00F6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7F919"/>
  <w15:chartTrackingRefBased/>
  <w15:docId w15:val="{5BE1871E-77C5-C04C-8851-9BFFB1C3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99F"/>
  </w:style>
  <w:style w:type="paragraph" w:styleId="Heading1">
    <w:name w:val="heading 1"/>
    <w:basedOn w:val="Normal"/>
    <w:next w:val="Normal"/>
    <w:link w:val="Heading1Char"/>
    <w:uiPriority w:val="9"/>
    <w:qFormat/>
    <w:rsid w:val="002F3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 Anh NGUYEN</dc:creator>
  <cp:keywords/>
  <dc:description/>
  <cp:lastModifiedBy>Johannes Gräff</cp:lastModifiedBy>
  <cp:revision>2</cp:revision>
  <dcterms:created xsi:type="dcterms:W3CDTF">2025-11-05T17:13:00Z</dcterms:created>
  <dcterms:modified xsi:type="dcterms:W3CDTF">2025-11-05T17:13:00Z</dcterms:modified>
</cp:coreProperties>
</file>